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" w:before="12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B88A36"/>
          <w:spacing w:val="36"/>
          <w:sz w:val="15"/>
          <w:szCs w:val="15"/>
        </w:rPr>
        <w:t xml:space="preserve">GLOBAL EXPERT PARTNER PROGRAM  ·  EN / KO / ZH</w:t>
      </w:r>
    </w:p>
    <w:p>
      <w:pPr>
        <w:spacing w:after="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34"/>
          <w:szCs w:val="34"/>
        </w:rPr>
        <w:t xml:space="preserve">Content Supply Agreement</w:t>
      </w:r>
    </w:p>
    <w:p>
      <w:pPr>
        <w:spacing w:after="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7"/>
          <w:szCs w:val="27"/>
        </w:rPr>
        <w:t xml:space="preserve">콘텐츠 공급 계약서</w:t>
      </w:r>
    </w:p>
    <w:p>
      <w:pPr>
        <w:spacing w:after="7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23416F"/>
          <w:sz w:val="24"/>
          <w:szCs w:val="24"/>
        </w:rPr>
        <w:t xml:space="preserve">内容供应合同</w:t>
      </w:r>
    </w:p>
    <w:p>
      <w:pPr>
        <w:pBdr>
          <w:bottom w:val="single" w:color="B88A36" w:sz="12"/>
        </w:pBdr>
        <w:tabs>
          <w:tab w:val="right" w:pos="9360"/>
        </w:tabs>
        <w:spacing w:after="7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717C93"/>
          <w:sz w:val="16"/>
          <w:szCs w:val="16"/>
        </w:rPr>
        <w:t xml:space="preserve">EDUPIM CAMPUS  ·  EDUPIM GLOBAL PTE. LTD.</w:t>
      </w:r>
      <w:r>
        <w:rPr>
          <w:rFonts w:ascii="Malgun Gothic" w:cs="Malgun Gothic" w:eastAsia="Malgun Gothic" w:hAnsi="Malgun Gothic"/>
          <w:color w:val="717C93"/>
          <w:sz w:val="14"/>
          <w:szCs w:val="14"/>
        </w:rPr>
        <w:t xml:space="preserve">	EPC-GEP-C01  ·  Ver 1.0  ·  UEN 202552251N</w:t>
      </w:r>
    </w:p>
    <w:p>
      <w:pPr>
        <w:spacing w:after="60"/>
      </w:pPr>
      <w:r>
        <w:rPr>
          <w:sz w:val="8"/>
          <w:szCs w:val="8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rPr>
          <w:trHeight w:val="200" w:hRule="atLeast"/>
        </w:trPr>
        <w:tc>
          <w:tcPr>
            <w:tcW w:type="dxa" w:w="9360"/>
            <w:tcBorders>
              <w:top w:val="single" w:color="C5CDDC" w:sz="4"/>
              <w:left w:val="single" w:color="B88A36" w:sz="18"/>
              <w:bottom w:val="single" w:color="C5CDDC" w:sz="4"/>
              <w:right w:val="single" w:color="C5CDDC" w:sz="4"/>
            </w:tcBorders>
            <w:shd w:fill="F6F8FB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top"/>
          </w:tcPr>
          <w:p>
            <w:pPr>
              <w:spacing w:after="40" w:before="30" w:line="246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B88A36"/>
                <w:sz w:val="17"/>
                <w:szCs w:val="17"/>
              </w:rPr>
              <w:t xml:space="preserve">Purpose  ·  문서 목적  ·  文件目的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This agreement defines the rights and obligations between EDUPIM CAMPUS (“Party A”) and the partner instructor (“Party B”) regarding content supply, copyright, revenue share and settlement.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3C4760"/>
                <w:sz w:val="16"/>
                <w:szCs w:val="16"/>
              </w:rPr>
              <w:t xml:space="preserve">본 계약서는 에듀핌 캠퍼스(“갑”)와 파트너 강사(“을”) 간의 콘텐츠 제공, 저작권, 수익쉐어 및 정산에 관한 권리와 의무를 정합니다.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6B748A"/>
                <w:sz w:val="15"/>
                <w:szCs w:val="15"/>
              </w:rPr>
              <w:t xml:space="preserve">本合同约定 EDUPIM CAMPUS（“甲方”）与合作讲师（“乙方”）之间在内容提供、版权、收益分成及结算方面的权利与义务。</w:t>
            </w:r>
          </w:p>
        </w:tc>
      </w:tr>
      <w:tr>
        <w:trPr>
          <w:trHeight w:val="200" w:hRule="atLeast"/>
        </w:trPr>
        <w:tc>
          <w:tcPr>
            <w:tcW w:type="dxa" w:w="9360"/>
            <w:tcBorders>
              <w:top w:val="single" w:color="C5CDDC" w:sz="4"/>
              <w:left w:val="single" w:color="C9A24C" w:sz="18"/>
              <w:bottom w:val="single" w:color="C5CDDC" w:sz="4"/>
              <w:right w:val="single" w:color="C5CDDC" w:sz="4"/>
            </w:tcBorders>
            <w:shd w:fill="F6F8FB" w:val="clear"/>
            <w:tcMar>
              <w:top w:type="dxa" w:w="100"/>
              <w:left w:type="dxa" w:w="120"/>
              <w:bottom w:type="dxa" w:w="100"/>
              <w:right w:type="dxa" w:w="120"/>
            </w:tcMar>
            <w:vAlign w:val="top"/>
          </w:tcPr>
          <w:p>
            <w:pPr>
              <w:spacing w:after="40" w:before="30" w:line="246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B88A36"/>
                <w:sz w:val="17"/>
                <w:szCs w:val="17"/>
              </w:rPr>
              <w:t xml:space="preserve">How to Complete  ·  작성 안내  ·  填写说明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This is an internal standard template; legal review is recommended before execution. Fill the blanks with agreed terms, and both parties sign or seal.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3C4760"/>
                <w:sz w:val="16"/>
                <w:szCs w:val="16"/>
              </w:rPr>
              <w:t xml:space="preserve">본 양식은 내부 표준 양식이며, 체결 전 법률 검토를 권장합니다. 공란에 협의 조건을 기입하고 양 당사자가 서명·날인합니다.</w:t>
            </w:r>
          </w:p>
          <w:p>
            <w:pPr>
              <w:spacing w:after="0" w:before="0" w:line="23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6B748A"/>
                <w:sz w:val="15"/>
                <w:szCs w:val="15"/>
              </w:rPr>
              <w:t xml:space="preserve">本格式为内部标准模板，签署前建议进行法律审核。请在空格处填写约定条件，并由双方签字或盖章。</w:t>
            </w:r>
          </w:p>
        </w:tc>
      </w:tr>
    </w:tbl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Contracting Parties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계약 당사자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合同当事人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150"/>
        <w:gridCol w:w="7210"/>
      </w:tblGrid>
      <w:tr>
        <w:trPr>
          <w:trHeight w:val="200" w:hRule="atLeast"/>
        </w:trPr>
        <w:tc>
          <w:tcPr>
            <w:tcW w:type="dxa" w:w="215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Party A (Distributor)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갑 (콘텐츠 유통자)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甲方（内容分销方）</w:t>
            </w:r>
          </w:p>
        </w:tc>
        <w:tc>
          <w:tcPr>
            <w:tcW w:type="dxa" w:w="721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90"/>
              <w:left w:type="dxa" w:w="120"/>
              <w:bottom w:type="dxa" w:w="90"/>
              <w:right w:type="dxa" w:w="120"/>
            </w:tcMar>
            <w:vAlign w:val="top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Company: </w:t>
            </w: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EDUPIM GLOBAL PTE. LTD.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717C93"/>
                <w:sz w:val="15"/>
                <w:szCs w:val="15"/>
              </w:rPr>
              <w:t xml:space="preserve">  (Brand: EDUPIM CAMPUS)</w:t>
            </w:r>
          </w:p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UEN: 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202552251N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    Incorporated: 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2025. 11. 25</w:t>
            </w:r>
          </w:p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Registered Office: 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111 Somerset Road, #06-01E, 111 Somerset, Singapore 238164</w:t>
            </w:r>
          </w:p>
        </w:tc>
      </w:tr>
      <w:tr>
        <w:trPr>
          <w:trHeight w:val="520" w:hRule="atLeast"/>
        </w:trPr>
        <w:tc>
          <w:tcPr>
            <w:tcW w:type="dxa" w:w="215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shd w:fill="EEF1F7" w:val="clear"/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Party B (Supplier)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6"/>
                <w:szCs w:val="16"/>
              </w:rPr>
              <w:t xml:space="preserve">을 (콘텐츠 공급자)</w:t>
            </w:r>
          </w:p>
          <w:p>
            <w:pPr>
              <w:spacing w:after="0" w:before="0" w:line="224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5"/>
                <w:szCs w:val="15"/>
              </w:rPr>
              <w:t xml:space="preserve">乙方（内容提供方）</w:t>
            </w:r>
          </w:p>
        </w:tc>
        <w:tc>
          <w:tcPr>
            <w:tcW w:type="dxa" w:w="721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Name / 성명 / 姓名: </w:t>
            </w:r>
            <w:r>
              <w:rPr>
                <w:rFonts w:ascii="Malgun Gothic" w:cs="Malgun Gothic" w:eastAsia="Malgun Gothic" w:hAnsi="Malgun Gothic"/>
                <w:sz w:val="18"/>
                <w:szCs w:val="18"/>
                <w:u w:val="single" w:color="9AA3B5"/>
              </w:rPr>
              <w:t xml:space="preserve">                  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   DOB: </w:t>
            </w:r>
            <w:r>
              <w:rPr>
                <w:rFonts w:ascii="Malgun Gothic" w:cs="Malgun Gothic" w:eastAsia="Malgun Gothic" w:hAnsi="Malgun Gothic"/>
                <w:sz w:val="18"/>
                <w:szCs w:val="18"/>
                <w:u w:val="single" w:color="9AA3B5"/>
              </w:rPr>
              <w:t xml:space="preserve">        </w:t>
            </w:r>
          </w:p>
        </w:tc>
      </w:tr>
    </w:tbl>
    <w:p>
      <w:pPr>
        <w:keepNext/>
        <w:spacing w:after="0" w:before="6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EDUPIM CAMPUS (“Party A”) and the partner instructor (“Party B”) enter into this agreement regarding the supply and sale of the educational content produced by Party B, as follows.</w:t>
      </w:r>
    </w:p>
    <w:p>
      <w:pPr>
        <w:keepNext/>
        <w:spacing w:after="0" w:before="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에듀핌 캠퍼스(“갑”)와 파트너 강사(“을”)는 “을”이 제작한 교육 콘텐츠의 공급 및 판매에 관하여 다음과 같이 계약을 체결한다.</w:t>
      </w:r>
    </w:p>
    <w:p>
      <w:pPr>
        <w:spacing w:after="96" w:before="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EDUPIM CAMPUS（“甲方”）与合作讲师（“乙方”）就乙方制作的教育内容之供应与销售，订立本合同如下。</w:t>
      </w:r>
    </w:p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Article 1 (Purpose)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제1조 (목적)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第一条（目的）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This agreement sets out the matters necessary to register, sell and share revenue from Party B’s content on the EDUPIM CAMPUS platform operated by Party A.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본 계약은 “을”이 제작한 콘텐츠를 “갑”이 운영하는 에듀핌 캠퍼스 플랫폼에서 등록·판매하고 수익을 수익쉐어 방식으로 배분하는 데 필요한 사항을 정한다.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本合同旨在约定将乙方制作的内容在甲方运营的 EDUPIM CAMPUS 平台上登记、销售并以收益分成方式分配所需的事项。</w:t>
      </w:r>
    </w:p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Article 2 (Scope of Content)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제2조 (콘텐츠 제공 범위)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第二条（内容提供范围）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①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Party B provides all content needed to run the course (lecture videos, materials such as PPT/PDF, thumbnails, course descriptions) per Party A’s specifications.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“을”은 강의 영상, 자료(PPT·PDF 등), 썸네일, 강의 소개 등 강좌 운영에 필요한 콘텐츠 일체를 “갑”이 정한 규격에 따라 제공한다.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乙方按甲方规定的规格，提供运营课程所需的全部内容（授课视频、PPT/PDF 等资料、缩略图、课程介绍等）。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②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Details follow the Course Proposal and the Course Production Guide.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세부 사항은 “강의 기획서” 및 “강의 제작 가이드”를 따른다.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具体事项依照《课程企划书》及《课程制作指南》执行。</w:t>
      </w:r>
    </w:p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Article 3 (Copyright)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제3조 (저작권)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第三条（版权）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①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Copyright in the content belongs to Party B.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콘텐츠의 저작권은 “을”에게 귀속된다.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内容的版权归乙方所有。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②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Party B warrants that the content does not infringe any third party’s copyright, portrait or trademark rights.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“을”은 제공 콘텐츠가 제3자의 저작권·초상권·상표권 등을 침해하지 않음을 보증한다.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乙方保证所提供内容不侵犯任何第三方的版权、肖像权及商标权等。</w:t>
      </w:r>
    </w:p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Article 4 (License)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제4조 (사용권)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第四条（使用权）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①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Party B grants Party A a non-exclusive license to register, sell, stream and promote the content during the term.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“을”은 “갑”에게 계약기간 동안 콘텐츠의 등록·판매·스트리밍·홍보를 위한 비독점적 사용권을 부여한다.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乙方授予甲方在合同期内对内容进行登记、销售、播放及宣传的非独占使用权。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②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Party A may edit portions of the content (previews, trailers) within the scope of marketing.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“갑”은 마케팅 목적 범위 내에서 콘텐츠의 일부를 편집(미리보기·예고편 등)하여 활용할 수 있다.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甲方可在营销目的范围内对内容的部分进行编辑（预览、预告片等）加以使用。</w:t>
      </w:r>
    </w:p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Article 5 (Term)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제5조 (계약기간)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第五条（合同期限）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①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The term of this agreement is ____ year(s)/month(s) from the date of execution.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본 계약의 기간은 체결일로부터 ____ 년(개월)으로 한다.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本合同期限自签署之日起为 ____ 年（月）。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②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It is automatically renewed on the same terms unless either party gives written notice ____ days before expiry.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만료 ____ 일 전까지 서면 통지가 없으면 동일 조건으로 자동 연장된다.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如在到期前 ____ 日内任一方未发出书面通知，则按相同条件自动续期。</w:t>
      </w:r>
    </w:p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Article 6 (Revenue Share)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제6조 (수익쉐어)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第六条（收益分成）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①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Net revenue after deducting payment fees and related costs from sales is the basis.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판매 매출에서 결제수수료 등 제반 비용을 공제한 순매출을 기준으로 한다.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以销售额扣除支付手续费等各项费用后的净收入为基准。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②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The net revenue is shared at Party B _____ % : Party A _____ %.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순매출에 대한 배분 비율은 “을” _____ % : “갑” _____ % 로 한다.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净收入分成比例为乙方 _____ % ：甲方 _____ %。</w:t>
      </w:r>
    </w:p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Article 7 (Settlement)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제7조 (정산)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第七条（结算）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①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Settlement is paid monthly to Party B’s registered account on the ____ of the following month.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정산은 매월 발생 수익을 기준으로 익월 ____ 일에 “을” 등록 계좌로 지급한다.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结算按每月产生的收益，于次月 ____ 日支付至乙方登记的账户。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②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Party A transparently provides sales and settlement details via the admin page.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“갑”은 관리자 페이지를 통해 매출·정산 내역을 투명하게 제공한다.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甲方通过管理页面透明地提供销售与结算明细。</w:t>
      </w:r>
    </w:p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Article 8 (Refunds)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제8조 (환불)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第八条（退款）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①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Learner refunds are handled per Party A’s refund policy and applicable law.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수강생 환불은 “갑”의 환불 정책 및 관련 법령에 따라 처리한다.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学员退款依照甲方的退款政策及相关法律法规处理。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②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Settlement for refunded transactions is deducted or recovered in that month’s settlement.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환불이 발생한 거래의 정산금은 해당 월 정산에서 차감 또는 환수한다.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已退款交易的结算款将在当月结算中扣减或追回。</w:t>
      </w:r>
    </w:p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Article 9 (Termination)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제9조 (계약 해지)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第九条（合同解除）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①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If a party breaches and fails to cure within ____ days of request, the other party may terminate.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일방이 위반하고 시정 요청 후 ____ 일 내 시정하지 않으면 상대방은 해지할 수 있다.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一方违约且在收到整改要求后 ____ 日内未予整改的，另一方可解除合同。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②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Party A may immediately suspend sales upon a serious copyright dispute, false statement, or legal violation.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중대한 저작권 분쟁·허위사실·법령 위반 시 “갑”은 즉시 판매를 중단할 수 있다.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如发生重大版权纠纷、虚假事实或违法情形，甲方可立即停止销售。</w:t>
      </w:r>
    </w:p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Article 10 (Confidentiality)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제10조 (비밀유지)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第十条（保密）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Both parties shall not disclose the other’s trade secrets and personal data to third parties, even after termination.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양 당사자는 상대방의 영업비밀 및 개인정보를 계약 종료 후에도 제3자에게 누설하지 아니한다.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双方在合同终止后亦不得向第三方泄露对方的商业秘密及个人信息。</w:t>
      </w:r>
    </w:p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Article 11 (Damages)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제11조 (손해배상)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第十一条（损害赔偿）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A party responsible for damage to the other shall be liable to compensate for such damage.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일방의 귀책사유로 상대방에게 손해가 발생한 경우 귀책 당사자가 이를 배상한다.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因一方过错给对方造成损害的，过错方应承担赔偿责任。</w:t>
      </w:r>
    </w:p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Article 12 (Dispute Resolution)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제12조 (분쟁 해결)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第十二条（争议解决）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①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Disputes shall be resolved through mutual consultation in principle.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분쟁은 상호 협의로 해결함을 원칙으로 한다.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争议原则上通过双方协商解决。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②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If unresolved, the court having jurisdiction over Party A’s address shall be the court of first instance.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협의가 안 될 경우 “갑”의 주소지 관할 법원을 제1심 관할 법원으로 한다.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协商不成的，以甲方所在地法院为第一审管辖法院。</w:t>
      </w:r>
    </w:p>
    <w:p>
      <w:pPr>
        <w:keepNext/>
        <w:spacing w:after="0" w:before="30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22"/>
          <w:szCs w:val="22"/>
        </w:rPr>
        <w:t xml:space="preserve">Supplementary</w:t>
      </w:r>
    </w:p>
    <w:p>
      <w:pPr>
        <w:keepNext/>
        <w:spacing w:after="0" w:before="0" w:line="246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9"/>
          <w:szCs w:val="19"/>
        </w:rPr>
        <w:t xml:space="preserve">부칙</w:t>
      </w:r>
    </w:p>
    <w:p>
      <w:pPr>
        <w:pBdr>
          <w:bottom w:val="single" w:color="B88A36" w:sz="8"/>
        </w:pBdr>
        <w:spacing w:after="110" w:before="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23416F"/>
          <w:sz w:val="18"/>
          <w:szCs w:val="18"/>
        </w:rPr>
        <w:t xml:space="preserve">附则</w:t>
      </w:r>
    </w:p>
    <w:p>
      <w:pPr>
        <w:keepNext/>
        <w:spacing w:after="0" w:before="70" w:line="242"/>
        <w:ind w:left="460" w:hanging="360"/>
      </w:pPr>
      <w:r>
        <w:rPr>
          <w:rFonts w:ascii="Malgun Gothic" w:cs="Malgun Gothic" w:eastAsia="Malgun Gothic" w:hAnsi="Malgun Gothic"/>
          <w:b/>
          <w:bCs/>
          <w:i w:val="false"/>
          <w:iCs w:val="false"/>
          <w:color w:val="16294A"/>
          <w:sz w:val="18"/>
          <w:szCs w:val="18"/>
        </w:rPr>
        <w:t xml:space="preserve"> 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Matters not specified herein follow applicable law, commercial practice, and the Global Expert Partner Operating Policy.</w:t>
      </w:r>
    </w:p>
    <w:p>
      <w:pPr>
        <w:keepNext/>
        <w:spacing w:after="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본 계약에 없는 사항은 관계 법령·상관례 및 “글로벌 전문가 파트너 운영 규정”에 따른다.</w:t>
      </w:r>
    </w:p>
    <w:p>
      <w:pPr>
        <w:spacing w:after="80" w:before="0" w:line="242"/>
        <w:ind w:left="460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本合同未尽事宜，依照相关法律法规、商业惯例及《全球专家合作伙伴运营规定》执行。</w:t>
      </w:r>
    </w:p>
    <w:p>
      <w:pPr>
        <w:keepNext/>
        <w:spacing w:after="0" w:before="20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To evidence this agreement, two copies are made; Party A and Party B sign/seal and each keeps one copy.</w:t>
      </w:r>
    </w:p>
    <w:p>
      <w:pPr>
        <w:keepNext/>
        <w:spacing w:after="0" w:before="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3C4760"/>
          <w:sz w:val="18"/>
          <w:szCs w:val="18"/>
        </w:rPr>
        <w:t xml:space="preserve">본 계약의 성립을 증명하기 위해 계약서 2부를 작성하고, “갑”과 “을”이 서명·날인 후 각 1부씩 보관한다.</w:t>
      </w:r>
    </w:p>
    <w:p>
      <w:pPr>
        <w:spacing w:after="60" w:before="0" w:line="244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6B748A"/>
          <w:sz w:val="17"/>
          <w:szCs w:val="17"/>
        </w:rPr>
        <w:t xml:space="preserve">为证明本合同的成立，制作合同一式两份，甲乙双方签字盖章后各执一份。</w:t>
      </w:r>
    </w:p>
    <w:p>
      <w:pPr>
        <w:keepNext/>
        <w:spacing w:after="120" w:before="30" w:line="246"/>
      </w:pP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Date / 계약일자 / 签约日期 :  20</w:t>
      </w:r>
      <w:r>
        <w:rPr>
          <w:rFonts w:ascii="Malgun Gothic" w:cs="Malgun Gothic" w:eastAsia="Malgun Gothic" w:hAnsi="Malgun Gothic"/>
          <w:sz w:val="18"/>
          <w:szCs w:val="18"/>
          <w:u w:val="single" w:color="9AA3B5"/>
        </w:rPr>
        <w:t xml:space="preserve">    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 / </w:t>
      </w:r>
      <w:r>
        <w:rPr>
          <w:rFonts w:ascii="Malgun Gothic" w:cs="Malgun Gothic" w:eastAsia="Malgun Gothic" w:hAnsi="Malgun Gothic"/>
          <w:sz w:val="18"/>
          <w:szCs w:val="18"/>
          <w:u w:val="single" w:color="9AA3B5"/>
        </w:rPr>
        <w:t xml:space="preserve">   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1C2740"/>
          <w:sz w:val="18"/>
          <w:szCs w:val="18"/>
        </w:rPr>
        <w:t xml:space="preserve"> / </w:t>
      </w:r>
      <w:r>
        <w:rPr>
          <w:rFonts w:ascii="Malgun Gothic" w:cs="Malgun Gothic" w:eastAsia="Malgun Gothic" w:hAnsi="Malgun Gothic"/>
          <w:sz w:val="18"/>
          <w:szCs w:val="18"/>
          <w:u w:val="single" w:color="9AA3B5"/>
        </w:rPr>
        <w:t xml:space="preserve">   </w:t>
      </w:r>
      <w:r>
        <w:rPr>
          <w:rFonts w:ascii="Malgun Gothic" w:cs="Malgun Gothic" w:eastAsia="Malgun Gothic" w:hAnsi="Malgun Gothic"/>
          <w:b w:val="false"/>
          <w:bCs w:val="false"/>
          <w:i w:val="false"/>
          <w:iCs w:val="false"/>
          <w:color w:val="717C93"/>
          <w:sz w:val="15"/>
          <w:szCs w:val="15"/>
        </w:rPr>
        <w:t xml:space="preserve">  (YYYY/MM/DD)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4620"/>
        <w:gridCol w:w="120"/>
        <w:gridCol w:w="4500"/>
      </w:tblGrid>
      <w:tr>
        <w:trPr>
          <w:cantSplit/>
        </w:trPr>
        <w:tc>
          <w:tcPr>
            <w:tcW w:type="dxa" w:w="462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130"/>
              <w:left w:type="dxa" w:w="120"/>
              <w:bottom w:type="dxa" w:w="150"/>
              <w:right w:type="dxa" w:w="120"/>
            </w:tcMar>
            <w:vAlign w:val="top"/>
          </w:tcPr>
          <w:p>
            <w:pPr>
              <w:spacing w:after="0" w:before="30" w:line="246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7"/>
                <w:szCs w:val="17"/>
              </w:rPr>
              <w:t xml:space="preserve">Party A (Distributor)</w:t>
            </w:r>
          </w:p>
          <w:p>
            <w:pPr>
              <w:spacing w:after="9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4"/>
                <w:szCs w:val="14"/>
              </w:rPr>
              <w:t xml:space="preserve">갑 (콘텐츠 유통자) / 甲方（内容分销方）</w:t>
            </w:r>
          </w:p>
          <w:p>
            <w:pPr>
              <w:spacing w:after="86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Company : 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EDUPIM GLOBAL PTE. LTD.</w:t>
            </w:r>
          </w:p>
          <w:p>
            <w:pPr>
              <w:spacing w:after="86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UEN : 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202552251N</w:t>
            </w:r>
          </w:p>
          <w:p>
            <w:pPr>
              <w:spacing w:after="86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5"/>
                <w:szCs w:val="15"/>
              </w:rPr>
              <w:t xml:space="preserve">Address : 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4"/>
                <w:szCs w:val="14"/>
              </w:rPr>
              <w:t xml:space="preserve">111 Somerset Road, #06-01E, 111 Somerset, Singapore 238164</w:t>
            </w:r>
          </w:p>
          <w:p>
            <w:pPr>
              <w:spacing w:after="86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Director : </w:t>
            </w:r>
            <w:r>
              <w:rPr>
                <w:rFonts w:ascii="Malgun Gothic" w:cs="Malgun Gothic" w:eastAsia="Malgun Gothic" w:hAnsi="Malgun Gothic"/>
                <w:sz w:val="18"/>
                <w:szCs w:val="18"/>
                <w:u w:val="single" w:color="9AA3B5"/>
              </w:rPr>
              <w:t xml:space="preserve">            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717C93"/>
                <w:sz w:val="16"/>
                <w:szCs w:val="16"/>
              </w:rPr>
              <w:t xml:space="preserve"> (印)</w:t>
            </w:r>
          </w:p>
        </w:tc>
        <w:tc>
          <w:tcPr>
            <w:tcW w:type="dxa" w:w="120"/>
            <w:tcBorders>
              <w:top w:val="none"/>
              <w:left w:val="none"/>
              <w:bottom w:val="none"/>
              <w:right w:val="none"/>
            </w:tcBorders>
            <w:tcMar>
              <w:top w:type="dxa" w:w="70"/>
              <w:left w:type="dxa" w:w="120"/>
              <w:bottom w:type="dxa" w:w="70"/>
              <w:right w:type="dxa" w:w="120"/>
            </w:tcMar>
            <w:vAlign w:val="center"/>
          </w:tcPr>
          <w:p>
            <w:pPr>
              <w:spacing w:after="3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8"/>
                <w:szCs w:val="18"/>
              </w:rPr>
              <w:t xml:space="preserve"/>
            </w:r>
          </w:p>
        </w:tc>
        <w:tc>
          <w:tcPr>
            <w:tcW w:type="dxa" w:w="4620"/>
            <w:tcBorders>
              <w:top w:val="single" w:color="C5CDDC" w:sz="4"/>
              <w:left w:val="single" w:color="C5CDDC" w:sz="4"/>
              <w:bottom w:val="single" w:color="C5CDDC" w:sz="4"/>
              <w:right w:val="single" w:color="C5CDDC" w:sz="4"/>
            </w:tcBorders>
            <w:tcMar>
              <w:top w:type="dxa" w:w="130"/>
              <w:left w:type="dxa" w:w="120"/>
              <w:bottom w:type="dxa" w:w="150"/>
              <w:right w:type="dxa" w:w="120"/>
            </w:tcMar>
            <w:vAlign w:val="top"/>
          </w:tcPr>
          <w:p>
            <w:pPr>
              <w:spacing w:after="0" w:before="30" w:line="246"/>
            </w:pPr>
            <w:r>
              <w:rPr>
                <w:rFonts w:ascii="Malgun Gothic" w:cs="Malgun Gothic" w:eastAsia="Malgun Gothic" w:hAnsi="Malgun Gothic"/>
                <w:b/>
                <w:bCs/>
                <w:i w:val="false"/>
                <w:iCs w:val="false"/>
                <w:color w:val="16294A"/>
                <w:sz w:val="17"/>
                <w:szCs w:val="17"/>
              </w:rPr>
              <w:t xml:space="preserve">Party B (Supplier · Instructor)</w:t>
            </w:r>
          </w:p>
          <w:p>
            <w:pPr>
              <w:spacing w:after="90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23416F"/>
                <w:sz w:val="14"/>
                <w:szCs w:val="14"/>
              </w:rPr>
              <w:t xml:space="preserve">을 (콘텐츠 공급자 · 강사) / 乙方（内容提供方 · 讲师）</w:t>
            </w:r>
          </w:p>
          <w:p>
            <w:pPr>
              <w:spacing w:after="86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Name : </w:t>
            </w:r>
            <w:r>
              <w:rPr>
                <w:rFonts w:ascii="Malgun Gothic" w:cs="Malgun Gothic" w:eastAsia="Malgun Gothic" w:hAnsi="Malgun Gothic"/>
                <w:sz w:val="18"/>
                <w:szCs w:val="18"/>
                <w:u w:val="single" w:color="9AA3B5"/>
              </w:rPr>
              <w:t xml:space="preserve">                </w:t>
            </w: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717C93"/>
                <w:sz w:val="16"/>
                <w:szCs w:val="16"/>
              </w:rPr>
              <w:t xml:space="preserve"> (印)</w:t>
            </w:r>
          </w:p>
          <w:p>
            <w:pPr>
              <w:spacing w:after="86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5"/>
                <w:szCs w:val="15"/>
              </w:rPr>
              <w:t xml:space="preserve">ID / Business No. : </w:t>
            </w:r>
            <w:r>
              <w:rPr>
                <w:rFonts w:ascii="Malgun Gothic" w:cs="Malgun Gothic" w:eastAsia="Malgun Gothic" w:hAnsi="Malgun Gothic"/>
                <w:sz w:val="18"/>
                <w:szCs w:val="18"/>
                <w:u w:val="single" w:color="9AA3B5"/>
              </w:rPr>
              <w:t xml:space="preserve">          </w:t>
            </w:r>
          </w:p>
          <w:p>
            <w:pPr>
              <w:spacing w:after="86" w:before="30" w:line="246"/>
            </w:pPr>
            <w:r>
              <w:rPr>
                <w:rFonts w:ascii="Malgun Gothic" w:cs="Malgun Gothic" w:eastAsia="Malgun Gothic" w:hAnsi="Malgun Gothic"/>
                <w:b w:val="false"/>
                <w:bCs w:val="false"/>
                <w:i w:val="false"/>
                <w:iCs w:val="false"/>
                <w:color w:val="1C2740"/>
                <w:sz w:val="16"/>
                <w:szCs w:val="16"/>
              </w:rPr>
              <w:t xml:space="preserve">Address : </w:t>
            </w:r>
            <w:r>
              <w:rPr>
                <w:rFonts w:ascii="Malgun Gothic" w:cs="Malgun Gothic" w:eastAsia="Malgun Gothic" w:hAnsi="Malgun Gothic"/>
                <w:sz w:val="18"/>
                <w:szCs w:val="18"/>
                <w:u w:val="single" w:color="9AA3B5"/>
              </w:rPr>
              <w:t xml:space="preserve">                  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1300" w:right="1273" w:bottom="1360" w:left="1273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C5CDDC" w:sz="4"/>
      </w:pBdr>
      <w:tabs>
        <w:tab w:val="right" w:pos="9360"/>
      </w:tabs>
      <w:spacing w:after="8" w:before="60"/>
    </w:pPr>
    <w:r>
      <w:rPr>
        <w:rFonts w:ascii="Malgun Gothic" w:cs="Malgun Gothic" w:eastAsia="Malgun Gothic" w:hAnsi="Malgun Gothic"/>
        <w:b/>
        <w:bCs/>
        <w:i w:val="false"/>
        <w:iCs w:val="false"/>
        <w:color w:val="16294A"/>
        <w:sz w:val="13"/>
        <w:szCs w:val="13"/>
      </w:rPr>
      <w:t xml:space="preserve">EDUPIM GLOBAL PTE. LTD. (EDUPIM CAMPUS)  ·  UEN 202552251N</w:t>
    </w:r>
    <w:r>
      <w:rPr>
        <w:rFonts w:ascii="Malgun Gothic" w:cs="Malgun Gothic" w:eastAsia="Malgun Gothic" w:hAnsi="Malgun Gothic"/>
        <w:color w:val="717C93"/>
        <w:sz w:val="13"/>
        <w:szCs w:val="13"/>
      </w:rPr>
      <w:t xml:space="preserve">	Page </w:t>
      <w:fldChar w:fldCharType="begin"/>
      <w:instrText xml:space="preserve">PAGE</w:instrText>
      <w:fldChar w:fldCharType="separate"/>
      <w:fldChar w:fldCharType="end"/>
      <w:t xml:space="preserve"> / </w:t>
      <w:fldChar w:fldCharType="begin"/>
      <w:instrText xml:space="preserve">NUMPAGES</w:instrText>
      <w:fldChar w:fldCharType="separate"/>
      <w:fldChar w:fldCharType="end"/>
    </w:r>
  </w:p>
  <w:p>
    <w:pPr>
      <w:spacing w:after="0" w:before="0"/>
    </w:pPr>
    <w:r>
      <w:rPr>
        <w:rFonts w:ascii="Malgun Gothic" w:cs="Malgun Gothic" w:eastAsia="Malgun Gothic" w:hAnsi="Malgun Gothic"/>
        <w:b w:val="false"/>
        <w:bCs w:val="false"/>
        <w:i w:val="false"/>
        <w:iCs w:val="false"/>
        <w:color w:val="717C93"/>
        <w:sz w:val="12"/>
        <w:szCs w:val="12"/>
      </w:rPr>
      <w:t xml:space="preserve">111 Somerset Road, #06-01E, 111 Somerset, Singapore 238164  ·  Internal standard template (pending legal review) / 내부 표준 양식(법률 검토 전) / 内部标准格式（法律审核前）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C5CDDC" w:sz="4"/>
      </w:pBdr>
      <w:tabs>
        <w:tab w:val="right" w:pos="9360"/>
      </w:tabs>
      <w:spacing w:after="70"/>
    </w:pPr>
    <w:r>
      <w:drawing>
        <wp:inline distT="0" distB="0" distL="0" distR="0">
          <wp:extent cx="1428750" cy="228600"/>
          <wp:effectExtent t="0" r="0" b="0" l="0"/>
          <wp:docPr id="1" name="logo" descr="logo" title="EDUPIM CAMPU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 descr=""/>
                  <pic:cNvPicPr>
                    <a:picLocks noChangeAspect="1" noChangeArrowheads="1"/>
                  </pic:cNvPicPr>
                </pic:nvPicPr>
                <pic:blipFill>
                  <a:blip r:embed="rId0" cstate="none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8750" cy="228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Malgun Gothic" w:cs="Malgun Gothic" w:eastAsia="Malgun Gothic" w:hAnsi="Malgun Gothic"/>
      </w:rPr>
      <w:t xml:space="preserve">	</w:t>
    </w:r>
    <w:r>
      <w:rPr>
        <w:rFonts w:ascii="Malgun Gothic" w:cs="Malgun Gothic" w:eastAsia="Malgun Gothic" w:hAnsi="Malgun Gothic"/>
        <w:b/>
        <w:bCs/>
        <w:i w:val="false"/>
        <w:iCs w:val="false"/>
        <w:color w:val="B88A36"/>
        <w:spacing w:val="30"/>
        <w:sz w:val="13"/>
        <w:szCs w:val="13"/>
      </w:rPr>
      <w:t xml:space="preserve">GLOBAL EXPERT PARTNER</w:t>
    </w:r>
    <w:r>
      <w:rPr>
        <w:rFonts w:ascii="Malgun Gothic" w:cs="Malgun Gothic" w:eastAsia="Malgun Gothic" w:hAnsi="Malgun Gothic"/>
        <w:b w:val="false"/>
        <w:bCs w:val="false"/>
        <w:i w:val="false"/>
        <w:iCs w:val="false"/>
        <w:color w:val="717C93"/>
        <w:sz w:val="13"/>
        <w:szCs w:val="13"/>
      </w:rPr>
      <w:t xml:space="preserve">   EPC-GEP-C01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Malgun Gothic" w:cs="Malgun Gothic" w:eastAsia="Malgun Gothic" w:hAnsi="Malgun Gothic"/>
        <w:color w:val="1C2740"/>
        <w:sz w:val="18"/>
        <w:szCs w:val="18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97c771f01b8851c2f939c47e8622859dfbb497d7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2026-06-07T09:00:47.370Z</dcterms:created>
  <dcterms:modified xsi:type="dcterms:W3CDTF">2026-06-07T09:00:47.370Z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